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E11D8F"/>
          <w:sz w:val="32"/>
          <w:szCs w:val="28"/>
        </w:rPr>
        <w:t xml:space="preserve">PROFIL ZAUFANY — JAK GO PRZYGOTOWAĆ</w:t>
      </w:r>
    </w:p>
    <w:p>
      <w:pPr>
        <w:spacing w:after="150"/>
        <w:jc w:val="center"/>
      </w:pPr>
      <w:r>
        <w:rPr>
          <w:i/>
          <w:iCs/>
          <w:color w:val="666666"/>
          <w:sz w:val="18"/>
          <w:szCs w:val="18"/>
        </w:rPr>
        <w:t xml:space="preserve">instrukcja dla uczestnika · nabór WEKTOR 29.05.2026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CE8CD" w:color="auto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line="262"/>
            </w:pPr>
            <w:r>
              <w:rPr>
                <w:sz w:val="19"/>
                <w:szCs w:val="19"/>
              </w:rPr>
              <w:t xml:space="preserve">Po co Ci to: wniosek o dofinansowanie podpisujesz elektronicznie — profilem zaufanym lub kwalifikowanym podpisem elektronicznym. Bez tego nie złożysz wniosku 29 maja. Załóż profil teraz — nie zostawiaj tego na dzień naboru.</w:t>
            </w:r>
          </w:p>
        </w:tc>
      </w:tr>
    </w:tbl>
    <w:p>
      <w:pPr>
        <w:spacing w:after="120"/>
      </w:pPr>
    </w:p>
    <w:p>
      <w:pPr>
        <w:pStyle w:val="Heading2"/>
        <w:spacing w:after="80" w:before="200"/>
      </w:pPr>
      <w:r>
        <w:rPr>
          <w:b/>
          <w:bCs/>
          <w:color w:val="0FB5A0"/>
          <w:sz w:val="23"/>
          <w:szCs w:val="23"/>
        </w:rPr>
        <w:t xml:space="preserve">Najpierw sprawdź, czy już go masz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1. </w:t>
      </w:r>
      <w:r>
        <w:rPr>
          <w:sz w:val="21"/>
          <w:szCs w:val="21"/>
        </w:rPr>
        <w:t xml:space="preserve">Wejdź na pz.gov.pl i kliknij „Zaloguj się”.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2. </w:t>
      </w:r>
      <w:r>
        <w:rPr>
          <w:sz w:val="21"/>
          <w:szCs w:val="21"/>
        </w:rPr>
        <w:t xml:space="preserve">Jeśli logujesz się bez problemu — masz profil zaufany. Sprawdź jeszcze datę ważności (profil jest ważny 3 lata).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3. </w:t>
      </w:r>
      <w:r>
        <w:rPr>
          <w:sz w:val="21"/>
          <w:szCs w:val="21"/>
        </w:rPr>
        <w:t xml:space="preserve">Jeśli nie możesz się zalogować albo profil wygasł — załóż go jedną z metod poniżej.</w:t>
      </w:r>
    </w:p>
    <w:p>
      <w:pPr>
        <w:pStyle w:val="Heading2"/>
        <w:spacing w:after="80" w:before="200"/>
      </w:pPr>
      <w:r>
        <w:rPr>
          <w:b/>
          <w:bCs/>
          <w:color w:val="0FB5A0"/>
          <w:sz w:val="23"/>
          <w:szCs w:val="23"/>
        </w:rPr>
        <w:t xml:space="preserve">Cztery sposoby założenia (od najszybszego)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4060"/>
        <w:gridCol w:w="2700"/>
      </w:tblGrid>
      <w:tr>
        <w:tc>
          <w:tcPr>
            <w:tcW w:type="dxa" w:w="2600"/>
            <w:shd w:fill="1F3864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Metoda</w:t>
            </w:r>
          </w:p>
        </w:tc>
        <w:tc>
          <w:tcPr>
            <w:tcW w:type="dxa" w:w="4060"/>
            <w:shd w:fill="1F3864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Na czym polega</w:t>
            </w:r>
          </w:p>
        </w:tc>
        <w:tc>
          <w:tcPr>
            <w:tcW w:type="dxa" w:w="2700"/>
            <w:shd w:fill="1F3864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Czas / wymagania</w:t>
            </w:r>
          </w:p>
        </w:tc>
      </w:tr>
      <w:tr>
        <w:tc>
          <w:tcPr>
            <w:tcW w:type="dxa" w:w="2600"/>
            <w:shd w:fill="C6E0B4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Bankowość internetowa (zalecana)</w:t>
            </w:r>
          </w:p>
        </w:tc>
        <w:tc>
          <w:tcPr>
            <w:tcW w:type="dxa" w:w="406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Zakładasz profil przez swój bank — tożsamość jest już potwierdzona przy koncie.</w:t>
            </w:r>
          </w:p>
        </w:tc>
        <w:tc>
          <w:tcPr>
            <w:tcW w:type="dxa" w:w="270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Kilka minut, online. Konto w banku z tą usługą (m.in. PKO/Inteligo, Pekao, ING, mBank, Santander, Millennium, Alior).</w:t>
            </w:r>
          </w:p>
        </w:tc>
      </w:tr>
      <w:tr>
        <w:tc>
          <w:tcPr>
            <w:tcW w:type="dxa" w:w="2600"/>
            <w:shd w:fill="EAF0FA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e-dowód</w:t>
            </w:r>
          </w:p>
        </w:tc>
        <w:tc>
          <w:tcPr>
            <w:tcW w:type="dxa" w:w="406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Potwierdzasz tożsamość dowodem z warstwą elektroniczną.</w:t>
            </w:r>
          </w:p>
        </w:tc>
        <w:tc>
          <w:tcPr>
            <w:tcW w:type="dxa" w:w="270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Online. Telefon z NFC i aplikacją eDO App albo czytnik NFC + numer CAN z dowodu.</w:t>
            </w:r>
          </w:p>
        </w:tc>
      </w:tr>
      <w:tr>
        <w:tc>
          <w:tcPr>
            <w:tcW w:type="dxa" w:w="2600"/>
            <w:shd w:fill="EAF0FA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Rozmowa wideo z urzędnikiem</w:t>
            </w:r>
          </w:p>
        </w:tc>
        <w:tc>
          <w:tcPr>
            <w:tcW w:type="dxa" w:w="406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Tymczasowy profil potwierdzany podczas wideorozmowy.</w:t>
            </w:r>
          </w:p>
        </w:tc>
        <w:tc>
          <w:tcPr>
            <w:tcW w:type="dxa" w:w="270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Wymaga rezerwacji terminu i dokumentu tożsamości.</w:t>
            </w:r>
          </w:p>
        </w:tc>
      </w:tr>
      <w:tr>
        <w:tc>
          <w:tcPr>
            <w:tcW w:type="dxa" w:w="2600"/>
            <w:shd w:fill="EAF0FA" w:color="auto" w:val="clear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Punkt potwierdzający</w:t>
            </w:r>
          </w:p>
        </w:tc>
        <w:tc>
          <w:tcPr>
            <w:tcW w:type="dxa" w:w="406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Wniosek online + osobiste potwierdzenie w urzędzie.</w:t>
            </w:r>
          </w:p>
        </w:tc>
        <w:tc>
          <w:tcPr>
            <w:tcW w:type="dxa" w:w="2700"/>
            <w:tcMar>
              <w:top w:type="dxa" w:w="55"/>
              <w:left w:type="dxa" w:w="95"/>
              <w:bottom w:type="dxa" w:w="55"/>
              <w:right w:type="dxa" w:w="95"/>
            </w:tcMar>
          </w:tcPr>
          <w:p>
            <w:pPr>
              <w:spacing w:line="250"/>
            </w:pPr>
            <w:r>
              <w:rPr>
                <w:sz w:val="19"/>
                <w:szCs w:val="19"/>
              </w:rPr>
              <w:t xml:space="preserve">Wizyta osobista — najdłuższa droga, zostaw zapas czasu.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4CCCC" w:color="auto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line="262"/>
            </w:pPr>
            <w:r>
              <w:rPr>
                <w:sz w:val="19"/>
                <w:szCs w:val="19"/>
              </w:rPr>
              <w:t xml:space="preserve">Najwięcej czasu zabierają dwie ostatnie metody (wideo i punkt potwierdzający). Jeśli nie masz bankowości internetowej ani e-dowodu, zacznij od razu — możesz nie zdążyć na piątek, jeśli zostawisz to na ostatnią chwilę.</w:t>
            </w:r>
          </w:p>
        </w:tc>
      </w:tr>
    </w:tbl>
    <w:p>
      <w:pPr>
        <w:pStyle w:val="Heading2"/>
        <w:spacing w:after="80" w:before="200"/>
      </w:pPr>
      <w:r>
        <w:rPr>
          <w:b/>
          <w:bCs/>
          <w:color w:val="0FB5A0"/>
          <w:sz w:val="23"/>
          <w:szCs w:val="23"/>
        </w:rPr>
        <w:t xml:space="preserve">Krok po kroku — przez bank (najczęściej)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1. </w:t>
      </w:r>
      <w:r>
        <w:rPr>
          <w:sz w:val="21"/>
          <w:szCs w:val="21"/>
        </w:rPr>
        <w:t xml:space="preserve">Wejdź na pz.gov.pl → „Załóż profil zaufany”.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2. </w:t>
      </w:r>
      <w:r>
        <w:rPr>
          <w:sz w:val="21"/>
          <w:szCs w:val="21"/>
        </w:rPr>
        <w:t xml:space="preserve">Wybierz sposób: „Bank lub inny dostawca tożsamości” i wskaż swój bank.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3. </w:t>
      </w:r>
      <w:r>
        <w:rPr>
          <w:sz w:val="21"/>
          <w:szCs w:val="21"/>
        </w:rPr>
        <w:t xml:space="preserve">Zaloguj się do bankowości tak jak zwykle i znajdź sekcję e-urząd / profil zaufany.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4. </w:t>
      </w:r>
      <w:r>
        <w:rPr>
          <w:sz w:val="21"/>
          <w:szCs w:val="21"/>
        </w:rPr>
        <w:t xml:space="preserve">Uzupełnij dane (imię, nazwisko, PESEL, e-mail, telefon), ustaw nazwę użytkownika.</w:t>
      </w:r>
    </w:p>
    <w:p>
      <w:pPr>
        <w:spacing w:after="70" w:line="266"/>
        <w:ind w:left="520" w:hanging="300"/>
        <w:jc w:val="both"/>
      </w:pPr>
      <w:r>
        <w:rPr>
          <w:b/>
          <w:bCs/>
          <w:color w:val="1F3864"/>
          <w:sz w:val="21"/>
          <w:szCs w:val="21"/>
        </w:rPr>
        <w:t xml:space="preserve">5. </w:t>
      </w:r>
      <w:r>
        <w:rPr>
          <w:sz w:val="21"/>
          <w:szCs w:val="21"/>
        </w:rPr>
        <w:t xml:space="preserve">Potwierdź — profil zakłada się od razu, bez wizyty w urzędzie.</w:t>
      </w:r>
    </w:p>
    <w:p>
      <w:pPr>
        <w:pStyle w:val="Heading2"/>
        <w:spacing w:after="80" w:before="200"/>
      </w:pPr>
      <w:r>
        <w:rPr>
          <w:b/>
          <w:bCs/>
          <w:color w:val="0FB5A0"/>
          <w:sz w:val="23"/>
          <w:szCs w:val="23"/>
        </w:rPr>
        <w:t xml:space="preserve">Jak później podpiszesz wniosek</w:t>
      </w:r>
    </w:p>
    <w:p>
      <w:pPr>
        <w:spacing w:after="120" w:before="0" w:line="270"/>
        <w:jc w:val="both"/>
      </w:pPr>
      <w:r>
        <w:rPr>
          <w:sz w:val="21"/>
          <w:szCs w:val="21"/>
        </w:rPr>
        <w:t xml:space="preserve">W dniu naboru, po wypełnieniu formularza na wektor.arp.gda.pl, klikasz „Podpisz podpisem zaufanym”, a operację potwierdzasz kodem z SMS-a. Podpis jest częścią Twojego profilu zaufanego. Podpisujesz samodzielnie — nikomu nie udostępniaj loginu, hasła ani kodów.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CE8CD" w:color="auto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line="262"/>
            </w:pPr>
            <w:r>
              <w:rPr>
                <w:sz w:val="19"/>
                <w:szCs w:val="19"/>
              </w:rPr>
              <w:t xml:space="preserve">Bezpieczeństwo: profilu zaufanego nie udostępnia się nikomu — tak samo jak dowodu osobistego czy danych do banku. Jeśli korzystasz z naszej asysty, logujesz się i podpisujesz samodzielnie; MRTIQ nie prosi o Twoje hasła ani kody.</w:t>
            </w:r>
          </w:p>
        </w:tc>
      </w:tr>
    </w:tbl>
    <w:p>
      <w:pPr>
        <w:pBdr>
          <w:top w:val="single" w:color="C9C9C9" w:sz="4"/>
        </w:pBdr>
        <w:spacing w:before="120"/>
      </w:pPr>
    </w:p>
    <w:p>
      <w:pPr>
        <w:spacing w:after="100" w:before="80" w:line="270"/>
        <w:jc w:val="both"/>
      </w:pPr>
      <w:r>
        <w:rPr>
          <w:i/>
          <w:iCs/>
          <w:color w:val="888888"/>
          <w:sz w:val="16"/>
          <w:szCs w:val="16"/>
        </w:rPr>
        <w:t xml:space="preserve">MRTIQ · materiał pomocniczy do naboru WEKTOR. Oficjalne informacje o profilu zaufanym znajdziesz na pz.gov.pl i gov.pl.</w:t>
      </w:r>
    </w:p>
    <w:sectPr>
      <w:footerReference w:type="default" r:id="rId7"/>
      <w:headerReference w:type="default" r:id="rId9"/>
      <w:pgSz w:w="12240" w:h="15840" w:orient="portrait"/>
      <w:pgMar w:top="13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  <w:pBdr>
        <w:top w:val="single" w:sz="8" w:space="6" w:color="E11D8F"/>
      </w:pBdr>
    </w:pPr>
    <w:r>
      <w:rPr>
        <w:color w:val="999999"/>
        <w:sz w:val="14"/>
        <w:szCs w:val="14"/>
      </w:rPr>
    </w:r>
    <w:r>
      <w:rPr>
        <w:color w:val="999999"/>
        <w:sz w:val="14"/>
        <w:szCs w:val="14"/>
      </w:rPr>
    </w:r>
    <w:r>
      <w:drawing>
        <wp:inline xmlns:a="http://schemas.openxmlformats.org/drawingml/2006/main" xmlns:pic="http://schemas.openxmlformats.org/drawingml/2006/picture">
          <wp:extent cx="218934" cy="20116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rp_podstaw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34" cy="201168"/>
                  </a:xfrm>
                  <a:prstGeom prst="rect"/>
                </pic:spPr>
              </pic:pic>
            </a:graphicData>
          </a:graphic>
        </wp:inline>
      </w:drawing>
    </w:r>
    <w:r>
      <w:t xml:space="preserve">    </w:t>
    </w:r>
    <w:r>
      <w:drawing>
        <wp:inline xmlns:a="http://schemas.openxmlformats.org/drawingml/2006/main" xmlns:pic="http://schemas.openxmlformats.org/drawingml/2006/picture">
          <wp:extent cx="363789" cy="201168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arp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3789" cy="201168"/>
                  </a:xfrm>
                  <a:prstGeom prst="rect"/>
                </pic:spPr>
              </pic:pic>
            </a:graphicData>
          </a:graphic>
        </wp:inline>
      </w:drawing>
    </w:r>
    <w:r>
      <w:t xml:space="preserve">    </w:t>
    </w:r>
    <w:r>
      <w:drawing>
        <wp:inline xmlns:a="http://schemas.openxmlformats.org/drawingml/2006/main" xmlns:pic="http://schemas.openxmlformats.org/drawingml/2006/picture">
          <wp:extent cx="301752" cy="201168"/>
          <wp:docPr id="3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tZVvoGe5H-removebg-preview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01752" cy="201168"/>
                  </a:xfrm>
                  <a:prstGeom prst="rect"/>
                </pic:spPr>
              </pic:pic>
            </a:graphicData>
          </a:graphic>
        </wp:inline>
      </w:drawing>
    </w:r>
    <w:r>
      <w:t xml:space="preserve">    </w:t>
    </w:r>
    <w:r>
      <w:drawing>
        <wp:inline xmlns:a="http://schemas.openxmlformats.org/drawingml/2006/main" xmlns:pic="http://schemas.openxmlformats.org/drawingml/2006/picture">
          <wp:extent cx="451697" cy="201168"/>
          <wp:docPr id="4" name="Picture 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mc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51697" cy="201168"/>
                  </a:xfrm>
                  <a:prstGeom prst="rect"/>
                </pic:spPr>
              </pic:pic>
            </a:graphicData>
          </a:graphic>
        </wp:inline>
      </w:drawing>
    </w:r>
    <w:r>
      <w:t xml:space="preserve">    </w:t>
    </w:r>
    <w:r>
      <w:drawing>
        <wp:inline xmlns:a="http://schemas.openxmlformats.org/drawingml/2006/main" xmlns:pic="http://schemas.openxmlformats.org/drawingml/2006/picture">
          <wp:extent cx="220568" cy="201168"/>
          <wp:docPr id="5" name="Picture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62b40f4e83ddb4314fbf5591_893px-ISO_9001-2015.svg-removebg-preview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20568" cy="201168"/>
                  </a:xfrm>
                  <a:prstGeom prst="rect"/>
                </pic:spPr>
              </pic:pic>
            </a:graphicData>
          </a:graphic>
        </wp:inline>
      </w:drawing>
    </w:r>
    <w:r>
      <w:t xml:space="preserve">    </w:t>
    </w:r>
  </w:p>
  <w:p>
    <w:pPr>
      <w:jc w:val="center"/>
    </w:pPr>
    <w:r>
      <w:rPr>
        <w:color w:val="707078"/>
        <w:sz w:val="14"/>
      </w:rPr>
      <w:t>Szkolenie współfinansowane ze środków Unii Europejskiej w ramach projektu WEKTOR (Fundusze Europejskie dla Pomorza 2021–2027, Działanie 5.9). Operator: Agencja Rozwoju Pomorza S.A. · Partner: WUP w Gdańsku. Dofinansowanie do 95% zależnie od kwalifikacji i puli środków. Kontakt: intel@mrtiq.pl · +48 502 417 719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12" w:space="6" w:color="0FB5A0"/>
      </w:pBdr>
    </w:pPr>
    <w:r>
      <w:drawing>
        <wp:inline xmlns:a="http://schemas.openxmlformats.org/drawingml/2006/main" xmlns:pic="http://schemas.openxmlformats.org/drawingml/2006/picture">
          <wp:extent cx="712519" cy="2743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doc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519" cy="27432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F3864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2026-05-27T12:56:05.945Z</dcterms:created>
  <dcterms:modified xsi:type="dcterms:W3CDTF">2026-05-27T12:56:05.959Z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